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6" w:rsidRPr="0012153B" w:rsidRDefault="0012153B">
      <w:pPr>
        <w:jc w:val="center"/>
        <w:rPr>
          <w:rFonts w:ascii="黑体" w:eastAsia="黑体" w:hAnsi="黑体"/>
          <w:b/>
          <w:bCs/>
          <w:color w:val="000000"/>
          <w:position w:val="6"/>
          <w:sz w:val="44"/>
          <w:szCs w:val="44"/>
          <w:lang w:val="zh-CN"/>
        </w:rPr>
      </w:pPr>
      <w:r w:rsidRPr="0012153B">
        <w:rPr>
          <w:rFonts w:ascii="黑体" w:eastAsia="黑体" w:hAnsi="黑体" w:hint="eastAsia"/>
          <w:b/>
          <w:bCs/>
          <w:color w:val="000000"/>
          <w:position w:val="6"/>
          <w:sz w:val="44"/>
          <w:szCs w:val="44"/>
          <w:lang w:val="zh-CN"/>
        </w:rPr>
        <w:t>安国市公安局</w:t>
      </w:r>
    </w:p>
    <w:p w:rsidR="002932F6" w:rsidRPr="0012153B" w:rsidRDefault="00254307">
      <w:pPr>
        <w:jc w:val="center"/>
        <w:rPr>
          <w:rFonts w:ascii="黑体" w:eastAsia="黑体" w:hAnsi="黑体"/>
          <w:color w:val="000000"/>
          <w:position w:val="6"/>
          <w:sz w:val="44"/>
          <w:szCs w:val="44"/>
          <w:lang w:val="zh-CN"/>
        </w:rPr>
      </w:pPr>
      <w:r>
        <w:rPr>
          <w:rFonts w:ascii="黑体" w:eastAsia="黑体" w:hAnsi="黑体" w:hint="eastAsia"/>
          <w:b/>
          <w:bCs/>
          <w:color w:val="000000"/>
          <w:position w:val="6"/>
          <w:sz w:val="44"/>
          <w:szCs w:val="44"/>
          <w:lang w:val="zh-CN"/>
        </w:rPr>
        <w:t>2021</w:t>
      </w:r>
      <w:r w:rsidR="0012153B" w:rsidRPr="0012153B">
        <w:rPr>
          <w:rFonts w:ascii="黑体" w:eastAsia="黑体" w:hAnsi="黑体" w:hint="eastAsia"/>
          <w:b/>
          <w:bCs/>
          <w:color w:val="000000"/>
          <w:position w:val="6"/>
          <w:sz w:val="44"/>
          <w:szCs w:val="44"/>
          <w:lang w:val="zh-CN"/>
        </w:rPr>
        <w:t>年度</w:t>
      </w:r>
      <w:r w:rsidR="0012153B" w:rsidRPr="0012153B">
        <w:rPr>
          <w:rFonts w:ascii="黑体" w:eastAsia="黑体" w:hAnsi="黑体"/>
          <w:b/>
          <w:bCs/>
          <w:color w:val="000000"/>
          <w:position w:val="6"/>
          <w:sz w:val="44"/>
          <w:szCs w:val="44"/>
          <w:lang w:val="zh-CN"/>
        </w:rPr>
        <w:t>“</w:t>
      </w:r>
      <w:r w:rsidR="0012153B" w:rsidRPr="0012153B">
        <w:rPr>
          <w:rFonts w:ascii="黑体" w:eastAsia="黑体" w:hAnsi="黑体" w:hint="eastAsia"/>
          <w:b/>
          <w:bCs/>
          <w:color w:val="000000"/>
          <w:position w:val="6"/>
          <w:sz w:val="44"/>
          <w:szCs w:val="44"/>
          <w:lang w:val="zh-CN"/>
        </w:rPr>
        <w:t>双随机、一公开</w:t>
      </w:r>
      <w:r w:rsidR="0012153B" w:rsidRPr="0012153B">
        <w:rPr>
          <w:rFonts w:ascii="黑体" w:eastAsia="黑体" w:hAnsi="黑体"/>
          <w:b/>
          <w:bCs/>
          <w:color w:val="000000"/>
          <w:position w:val="6"/>
          <w:sz w:val="44"/>
          <w:szCs w:val="44"/>
          <w:lang w:val="zh-CN"/>
        </w:rPr>
        <w:t>”</w:t>
      </w:r>
      <w:r w:rsidR="0012153B" w:rsidRPr="0012153B">
        <w:rPr>
          <w:rFonts w:ascii="黑体" w:eastAsia="黑体" w:hAnsi="黑体" w:hint="eastAsia"/>
          <w:b/>
          <w:bCs/>
          <w:color w:val="000000"/>
          <w:position w:val="6"/>
          <w:sz w:val="44"/>
          <w:szCs w:val="44"/>
          <w:lang w:val="zh-CN"/>
        </w:rPr>
        <w:t>监管工作</w:t>
      </w:r>
    </w:p>
    <w:p w:rsidR="002932F6" w:rsidRPr="0012153B" w:rsidRDefault="0012153B">
      <w:pPr>
        <w:jc w:val="center"/>
        <w:rPr>
          <w:rFonts w:ascii="黑体" w:eastAsia="黑体" w:hAnsi="黑体" w:cstheme="majorEastAsia"/>
          <w:b/>
          <w:bCs/>
          <w:color w:val="000000"/>
          <w:position w:val="6"/>
          <w:sz w:val="44"/>
          <w:szCs w:val="44"/>
          <w:lang w:val="zh-CN"/>
        </w:rPr>
      </w:pPr>
      <w:r w:rsidRPr="0012153B">
        <w:rPr>
          <w:rFonts w:ascii="黑体" w:eastAsia="黑体" w:hAnsi="黑体" w:cstheme="majorEastAsia" w:hint="eastAsia"/>
          <w:b/>
          <w:bCs/>
          <w:color w:val="000000"/>
          <w:position w:val="6"/>
          <w:sz w:val="44"/>
          <w:szCs w:val="44"/>
          <w:lang w:val="zh-CN"/>
        </w:rPr>
        <w:t>实施方案</w:t>
      </w:r>
    </w:p>
    <w:p w:rsidR="002932F6" w:rsidRPr="0012153B" w:rsidRDefault="0012153B">
      <w:pPr>
        <w:jc w:val="left"/>
        <w:rPr>
          <w:rFonts w:ascii="黑体" w:eastAsia="黑体" w:hAnsi="黑体"/>
          <w:color w:val="000000"/>
          <w:position w:val="6"/>
          <w:sz w:val="20"/>
          <w:lang w:val="zh-CN"/>
        </w:rPr>
      </w:pPr>
      <w:r w:rsidRPr="0012153B">
        <w:rPr>
          <w:rFonts w:ascii="黑体" w:eastAsia="黑体" w:hAnsi="黑体" w:hint="eastAsia"/>
          <w:color w:val="000000"/>
          <w:position w:val="6"/>
          <w:sz w:val="20"/>
          <w:lang w:val="zh-CN"/>
        </w:rPr>
        <w:t xml:space="preserve">　　</w:t>
      </w:r>
    </w:p>
    <w:p w:rsidR="002932F6" w:rsidRDefault="002932F6">
      <w:pPr>
        <w:jc w:val="left"/>
        <w:rPr>
          <w:rFonts w:ascii="宋体" w:hAnsi="宋体"/>
          <w:color w:val="000000"/>
          <w:position w:val="6"/>
          <w:sz w:val="20"/>
          <w:lang w:val="zh-CN"/>
        </w:rPr>
      </w:pPr>
    </w:p>
    <w:p w:rsidR="002932F6" w:rsidRDefault="0012153B">
      <w:pPr>
        <w:ind w:firstLineChars="200"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为深入贯彻落实安国市“双随机、一公开”监管工作领导小组的有关部署要求，进一步推进我局“双随机、一公开”监管工作持续、广泛、深入开展，制定本方案。</w:t>
      </w:r>
    </w:p>
    <w:p w:rsidR="002932F6" w:rsidRDefault="002932F6">
      <w:pPr>
        <w:ind w:firstLineChars="200"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</w:p>
    <w:p w:rsidR="002932F6" w:rsidRDefault="0012153B">
      <w:pPr>
        <w:jc w:val="left"/>
        <w:rPr>
          <w:rFonts w:ascii="仿宋" w:eastAsia="仿宋" w:hAnsi="仿宋" w:cs="仿宋"/>
          <w:b/>
          <w:bCs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color w:val="000000"/>
          <w:position w:val="6"/>
          <w:sz w:val="32"/>
          <w:szCs w:val="32"/>
          <w:lang w:val="zh-CN"/>
        </w:rPr>
        <w:t xml:space="preserve">　　一、工作目标</w:t>
      </w:r>
    </w:p>
    <w:p w:rsidR="002932F6" w:rsidRDefault="0012153B">
      <w:pPr>
        <w:ind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适应机构改革新形势，进一步完善随机抽查制度机制，严格对照抽查计划开展抽查工作；完成安国市“双随机、一公开”监管工作领导小组组织的部门联合抽查任务。</w:t>
      </w:r>
    </w:p>
    <w:p w:rsidR="002932F6" w:rsidRDefault="002932F6">
      <w:pPr>
        <w:ind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</w:p>
    <w:p w:rsidR="002932F6" w:rsidRDefault="0012153B">
      <w:pPr>
        <w:jc w:val="left"/>
        <w:rPr>
          <w:rFonts w:ascii="仿宋" w:eastAsia="仿宋" w:hAnsi="仿宋" w:cs="仿宋"/>
          <w:b/>
          <w:bCs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color w:val="000000"/>
          <w:position w:val="6"/>
          <w:sz w:val="32"/>
          <w:szCs w:val="32"/>
          <w:lang w:val="zh-CN"/>
        </w:rPr>
        <w:t xml:space="preserve">　　二、主要工作任务</w:t>
      </w:r>
    </w:p>
    <w:p w:rsidR="002932F6" w:rsidRDefault="00AF44A2">
      <w:pPr>
        <w:ind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（一）健全完善制度机制。及时对“双随机”抽查工作进行调整</w:t>
      </w:r>
      <w:r w:rsidR="0012153B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，确保工作有序开展。不断完善“一单两库一细则”：在省、市抽查事项清单调整的基础上，动态调整抽查事项清单，并及时向社会公布。调整检查对象名录库，确保监管对象应纳尽纳；综合考虑执法队伍实际、内部职能划分、执法人员种类等因素，将有执法资格的执法人员全部录入执法检查人员名录</w:t>
      </w:r>
      <w:r w:rsidR="0012153B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lastRenderedPageBreak/>
        <w:t>库，并对“两库”实施动态管理。制定适用本单位的抽查工作细则，加强对抽查工作的规范。</w:t>
      </w:r>
    </w:p>
    <w:p w:rsidR="002932F6" w:rsidRDefault="0012153B">
      <w:pPr>
        <w:ind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（二）科学合理制定市本级年度随机抽查计划。各有关部门要依据监管职责，结合监管重点、风险点、行业领域特点和上级部门的工作要求，认真谋划本部门（市本级）</w:t>
      </w:r>
      <w:r w:rsidR="00254307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2021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年度抽查计划，</w:t>
      </w:r>
      <w:r w:rsidR="00AF44A2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按时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完成本部门年度随机抽查计划的制定、上报和公示，以确保严格按计划组织开展抽查检查。重点检查事项比例不设上限（比例高、任务重的可分批次），一般检查事项严格限制抽查比例，抽查检查比例要确保达到本部门监管对象的5%以上。年度抽查计划一经制定，原则上不再更改，并严格按计划执行，确保年度前完成。</w:t>
      </w:r>
    </w:p>
    <w:p w:rsidR="002932F6" w:rsidRDefault="0012153B">
      <w:pPr>
        <w:ind w:firstLine="641"/>
        <w:jc w:val="left"/>
        <w:rPr>
          <w:rFonts w:ascii="仿宋" w:eastAsia="仿宋" w:hAnsi="仿宋" w:cs="仿宋"/>
          <w:color w:val="000000"/>
          <w:position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（三）积极参与部门联合抽查。各有关部门要积极参与</w:t>
      </w:r>
      <w:r w:rsidR="00AF44A2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安国市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市双随机办和其他</w:t>
      </w:r>
      <w:r w:rsidR="00AF44A2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成员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单位组织的部门联合抽查，实现“进一次门、查多项事”，尽可能减少对企业正常生产经营活动的干扰。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</w:rPr>
        <w:t xml:space="preserve">   </w:t>
      </w:r>
    </w:p>
    <w:p w:rsidR="002932F6" w:rsidRDefault="0012153B">
      <w:pPr>
        <w:ind w:firstLine="641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（四）规范抽查检查结果公示运用。各有关部门在市本级随机抽查后3天内，要将抽查结果按市局统一规范格式及时在</w:t>
      </w:r>
      <w:r w:rsidR="007B2ACB"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相关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网站进行公示，接受社会监督。对抽查发现的违法违规行为依法加大惩处力度，对涉嫌犯罪的及时移送司法机关。</w:t>
      </w:r>
    </w:p>
    <w:p w:rsidR="002932F6" w:rsidRDefault="0012153B">
      <w:pPr>
        <w:ind w:firstLine="641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（五）谋划安排随机抽查业务培训。各有关部门要在今年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lastRenderedPageBreak/>
        <w:t>本部门、本系统培训计划中，提前谋划，安排好随机抽查业务培训，加强执法人员培训，不断提高执法能力和监管水平，确保抽查结果认定规范统一。</w:t>
      </w:r>
    </w:p>
    <w:p w:rsidR="002932F6" w:rsidRDefault="002932F6">
      <w:pPr>
        <w:ind w:firstLine="641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bookmarkStart w:id="0" w:name="_GoBack"/>
      <w:bookmarkEnd w:id="0"/>
    </w:p>
    <w:p w:rsidR="002932F6" w:rsidRDefault="0012153B">
      <w:pPr>
        <w:ind w:firstLine="640"/>
        <w:jc w:val="left"/>
        <w:rPr>
          <w:rFonts w:ascii="仿宋" w:eastAsia="仿宋" w:hAnsi="仿宋" w:cs="仿宋"/>
          <w:b/>
          <w:bCs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color w:val="000000"/>
          <w:position w:val="6"/>
          <w:sz w:val="32"/>
          <w:szCs w:val="32"/>
          <w:lang w:val="zh-CN"/>
        </w:rPr>
        <w:t>三、工作要求</w:t>
      </w:r>
    </w:p>
    <w:p w:rsidR="002932F6" w:rsidRDefault="0012153B">
      <w:pPr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 xml:space="preserve">　　（一）加强组织领导。全面推行“双随机、一公开”监管，是党中央、国务院作出的重大决策部署,是市场监管理念和方式的重要创新，是深化“放管服”改革、加快政府职能转变的内在要求，是减轻企业负担、优化营商环境的有力举措,是加快信用体系建设、创新事中事后监管的重要内容。各有关部门务必高度重视，加强对本部门“双随机、一公开”监管工作的组织领导、统筹协调，建立健全相应工作机制，制定科学务实的工作方案，细化目标任务和推进措施，确保各项工作任务落到实处。</w:t>
      </w:r>
    </w:p>
    <w:p w:rsidR="002932F6" w:rsidRDefault="0012153B">
      <w:pPr>
        <w:ind w:firstLine="640"/>
        <w:jc w:val="lef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（二）落实信息报送制度。各有关部门要严格执行信息报送制度，及时报送“双随机、一公开”监管工作开展情况。</w:t>
      </w:r>
    </w:p>
    <w:p w:rsidR="002932F6" w:rsidRDefault="002932F6">
      <w:pPr>
        <w:ind w:firstLine="640"/>
        <w:jc w:val="righ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</w:p>
    <w:p w:rsidR="002932F6" w:rsidRDefault="0012153B">
      <w:pPr>
        <w:ind w:firstLine="640"/>
        <w:jc w:val="right"/>
        <w:rPr>
          <w:rFonts w:ascii="仿宋" w:eastAsia="仿宋" w:hAnsi="仿宋" w:cs="仿宋"/>
          <w:color w:val="000000"/>
          <w:position w:val="6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  <w:lang w:val="zh-CN"/>
        </w:rPr>
        <w:t>安国市公安局</w:t>
      </w:r>
    </w:p>
    <w:p w:rsidR="002932F6" w:rsidRDefault="00254307">
      <w:pPr>
        <w:ind w:firstLine="640"/>
        <w:jc w:val="right"/>
        <w:rPr>
          <w:rFonts w:ascii="仿宋" w:eastAsia="仿宋" w:hAnsi="仿宋" w:cs="仿宋"/>
          <w:color w:val="000000"/>
          <w:position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position w:val="6"/>
          <w:sz w:val="32"/>
          <w:szCs w:val="32"/>
        </w:rPr>
        <w:t>2021</w:t>
      </w:r>
      <w:r w:rsidR="0012153B">
        <w:rPr>
          <w:rFonts w:ascii="仿宋" w:eastAsia="仿宋" w:hAnsi="仿宋" w:cs="仿宋" w:hint="eastAsia"/>
          <w:color w:val="000000"/>
          <w:position w:val="6"/>
          <w:sz w:val="32"/>
          <w:szCs w:val="32"/>
        </w:rPr>
        <w:t>年1月</w:t>
      </w:r>
      <w:r>
        <w:rPr>
          <w:rFonts w:ascii="仿宋" w:eastAsia="仿宋" w:hAnsi="仿宋" w:cs="仿宋" w:hint="eastAsia"/>
          <w:color w:val="000000"/>
          <w:position w:val="6"/>
          <w:sz w:val="32"/>
          <w:szCs w:val="32"/>
        </w:rPr>
        <w:t>21</w:t>
      </w:r>
      <w:r w:rsidR="0012153B">
        <w:rPr>
          <w:rFonts w:ascii="仿宋" w:eastAsia="仿宋" w:hAnsi="仿宋" w:cs="仿宋" w:hint="eastAsia"/>
          <w:color w:val="000000"/>
          <w:position w:val="6"/>
          <w:sz w:val="32"/>
          <w:szCs w:val="32"/>
        </w:rPr>
        <w:t>日</w:t>
      </w:r>
    </w:p>
    <w:p w:rsidR="002932F6" w:rsidRDefault="002932F6">
      <w:pPr>
        <w:rPr>
          <w:rFonts w:ascii="仿宋" w:eastAsia="仿宋" w:hAnsi="仿宋" w:cs="仿宋"/>
          <w:sz w:val="32"/>
          <w:szCs w:val="32"/>
        </w:rPr>
      </w:pPr>
    </w:p>
    <w:sectPr w:rsidR="002932F6" w:rsidSect="002932F6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153B"/>
    <w:rsid w:val="00172A27"/>
    <w:rsid w:val="00254307"/>
    <w:rsid w:val="002932F6"/>
    <w:rsid w:val="007B2ACB"/>
    <w:rsid w:val="00AB3CB7"/>
    <w:rsid w:val="00AF44A2"/>
    <w:rsid w:val="0FF77331"/>
    <w:rsid w:val="1D5F6946"/>
    <w:rsid w:val="2B406977"/>
    <w:rsid w:val="49D31950"/>
    <w:rsid w:val="78A3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932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2020-03-11T01:58:00Z</dcterms:created>
  <dcterms:modified xsi:type="dcterms:W3CDTF">2021-04-12T02:01:00Z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